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Indice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Presentazioni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color w:val="1C1C1A"/>
          <w:kern w:val="24"/>
          <w:sz w:val="28"/>
          <w:szCs w:val="28"/>
        </w:rPr>
        <w:t xml:space="preserve">Caterina </w:t>
      </w:r>
      <w:proofErr w:type="spellStart"/>
      <w:r>
        <w:rPr>
          <w:rFonts w:ascii="Calibri" w:eastAsia="Calibri" w:hAnsi="Calibri" w:cs="Fairfield LH Light"/>
          <w:color w:val="1C1C1A"/>
          <w:kern w:val="24"/>
          <w:sz w:val="28"/>
          <w:szCs w:val="28"/>
        </w:rPr>
        <w:t>Furlan</w:t>
      </w:r>
      <w:proofErr w:type="spellEnd"/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color w:val="1C1C1A"/>
          <w:kern w:val="24"/>
          <w:sz w:val="28"/>
          <w:szCs w:val="28"/>
        </w:rPr>
        <w:t>Piero Furlani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 xml:space="preserve">Caterina </w:t>
      </w:r>
      <w:proofErr w:type="spellStart"/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Furlan</w:t>
      </w:r>
      <w:proofErr w:type="spellEnd"/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I. Italo </w:t>
      </w:r>
      <w:proofErr w:type="spellStart"/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Furlan</w:t>
      </w:r>
      <w:proofErr w:type="spellEnd"/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 e Rosazzo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 xml:space="preserve">Moreno </w:t>
      </w:r>
      <w:proofErr w:type="spellStart"/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Baccichet</w:t>
      </w:r>
      <w:proofErr w:type="spellEnd"/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II. La costruzione di un paesaggio del vino attorno all’abbazia di Rosazzo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Enos Costantini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III. I vini della Badia e i vitigni di Italo </w:t>
      </w:r>
      <w:proofErr w:type="spellStart"/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Furlan</w:t>
      </w:r>
      <w:proofErr w:type="spellEnd"/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 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 xml:space="preserve">Massimo </w:t>
      </w:r>
      <w:proofErr w:type="spellStart"/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Poldelmengo</w:t>
      </w:r>
      <w:proofErr w:type="spellEnd"/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IV. Tra i ronchi vitati. Momenti di un percorso visivo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Alessandro Del Puppo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V. Le occasioni di Rosazzo 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Vittorio Pierini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VI. Progetto per il parziale restauro della cosiddetta Osteria nuova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 xml:space="preserve">Lorenzo </w:t>
      </w:r>
      <w:proofErr w:type="spellStart"/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Mocchiutti</w:t>
      </w:r>
      <w:proofErr w:type="spellEnd"/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 xml:space="preserve"> e Luca </w:t>
      </w:r>
      <w:proofErr w:type="spellStart"/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Gremese</w:t>
      </w:r>
      <w:proofErr w:type="spellEnd"/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VII. I vigneti della Fondazione </w:t>
      </w:r>
      <w:proofErr w:type="spellStart"/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Furlan</w:t>
      </w:r>
      <w:proofErr w:type="spellEnd"/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>, un patrimonio da custodire</w:t>
      </w:r>
    </w:p>
    <w:p w:rsidR="007D4A72" w:rsidRDefault="007D4A72" w:rsidP="007D4A72">
      <w:pPr>
        <w:pStyle w:val="NormaleWeb"/>
        <w:spacing w:before="0" w:beforeAutospacing="0" w:after="0" w:afterAutospacing="0"/>
      </w:pPr>
      <w:r>
        <w:rPr>
          <w:rFonts w:ascii="Calibri" w:eastAsia="Calibri" w:hAnsi="Calibri" w:cs="Frutiger LT Std 45 Light"/>
          <w:b/>
          <w:bCs/>
          <w:color w:val="1C1C1A"/>
          <w:kern w:val="24"/>
          <w:sz w:val="28"/>
          <w:szCs w:val="28"/>
        </w:rPr>
        <w:t>Alberto Sdegno</w:t>
      </w:r>
    </w:p>
    <w:p w:rsidR="007D4A72" w:rsidRDefault="007D4A72" w:rsidP="007D4A72">
      <w:pPr>
        <w:pStyle w:val="NormaleWeb"/>
        <w:spacing w:before="0" w:beforeAutospacing="0" w:after="160" w:afterAutospacing="0"/>
      </w:pPr>
      <w:r>
        <w:rPr>
          <w:rFonts w:ascii="Calibri" w:eastAsia="Calibri" w:hAnsi="Calibri" w:cs="Fairfield LH Light"/>
          <w:i/>
          <w:iCs/>
          <w:color w:val="1C1C1A"/>
          <w:kern w:val="24"/>
          <w:sz w:val="28"/>
          <w:szCs w:val="28"/>
        </w:rPr>
        <w:t xml:space="preserve">VIII. Osteria vecchia e Osteria nuova: rilievo e restituzione con le nuove tecnologie                                                                                                              </w:t>
      </w:r>
    </w:p>
    <w:p w:rsidR="00AF7B05" w:rsidRDefault="00AF7B05">
      <w:bookmarkStart w:id="0" w:name="_GoBack"/>
      <w:bookmarkEnd w:id="0"/>
    </w:p>
    <w:sectPr w:rsidR="00AF7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0000000000000000000"/>
    <w:charset w:val="00"/>
    <w:family w:val="roman"/>
    <w:notTrueType/>
    <w:pitch w:val="default"/>
  </w:font>
  <w:font w:name="Fairfield LH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72"/>
    <w:rsid w:val="007D4A72"/>
    <w:rsid w:val="00A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A6B1-BF43-4481-8EC7-796FCEA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2025-09-01T05:31:00Z</dcterms:created>
  <dcterms:modified xsi:type="dcterms:W3CDTF">2025-09-01T05:31:00Z</dcterms:modified>
</cp:coreProperties>
</file>